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"/>
        <w:jc w:val="start"/>
        <w:rPr>
          <w:sz w:val="24"/>
          <w:szCs w:val="24"/>
        </w:rPr>
      </w:pPr>
      <w:r>
        <w:rPr>
          <w:rFonts w:eastAsia="Calibri" w:cs="Calibri" w:ascii="Calibri" w:hAnsi="Calibri"/>
          <w:b/>
          <w:bCs/>
          <w:color w:val="9E2A2B"/>
          <w:sz w:val="24"/>
          <w:szCs w:val="24"/>
        </w:rPr>
        <w:t>AVVISO AI CONTRIBUENTI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1F3864"/>
          <w:sz w:val="32"/>
          <w:szCs w:val="32"/>
        </w:rPr>
        <w:t>Definizione agevolata delle entrate comunali</w:t>
      </w:r>
    </w:p>
    <w:p>
      <w:pPr>
        <w:pStyle w:val="Normal"/>
        <w:pBdr>
          <w:bottom w:val="single" w:sz="8" w:space="4" w:color="9E2A2B"/>
        </w:pBdr>
        <w:spacing w:before="0" w:after="200"/>
        <w:rPr>
          <w:rFonts w:ascii="Calibri" w:hAnsi="Calibri" w:eastAsia="Calibri" w:cs="Calibri"/>
          <w:b/>
          <w:bCs/>
          <w:color w:val="595959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595959"/>
          <w:sz w:val="24"/>
          <w:szCs w:val="24"/>
        </w:rPr>
      </w:r>
    </w:p>
    <w:p>
      <w:pPr>
        <w:pStyle w:val="Normal"/>
        <w:spacing w:lineRule="auto" w:line="276" w:before="0" w:after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Il Comune di Cinisi ha attivato la definizione agevolata delle proprie entrate, tributarie e patrimoniali, prevista dalla Legge di bilancio 2026 (legge 30 dicembre 2025, n. 199, art. 1, commi 102-110) e disciplinata dal Regolamento approvato con deliberazione del Consiglio comunale n. 52 del 25 giugno 2026.</w:t>
      </w:r>
    </w:p>
    <w:p>
      <w:pPr>
        <w:pStyle w:val="Normal"/>
        <w:spacing w:lineRule="auto" w:line="276" w:before="0" w:after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Chi ha debiti nei confronti del Comune può pagare il solo importo dovuto a titolo di capitale – imposta, tassa o entrata patrimoniale – </w:t>
      </w:r>
      <w:r>
        <w:rPr>
          <w:rFonts w:eastAsia="Calibri" w:cs="Calibri" w:ascii="Calibri" w:hAnsi="Calibri"/>
          <w:b/>
          <w:bCs/>
          <w:i w:val="false"/>
          <w:iCs w:val="false"/>
          <w:color w:val="000000"/>
          <w:sz w:val="20"/>
          <w:szCs w:val="20"/>
        </w:rPr>
        <w:t>senza sanzioni e senza interessi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, con possibilità di rateizzazione.</w:t>
      </w:r>
    </w:p>
    <w:p>
      <w:pPr>
        <w:pStyle w:val="Normal"/>
        <w:keepNext w:val="true"/>
        <w:spacing w:before="160" w:after="80"/>
        <w:rPr/>
      </w:pPr>
      <w:r>
        <w:rPr>
          <w:rFonts w:eastAsia="Calibri" w:cs="Calibri" w:ascii="Calibri" w:hAnsi="Calibri"/>
          <w:b/>
          <w:bCs/>
          <w:color w:val="1F3864"/>
          <w:sz w:val="22"/>
          <w:szCs w:val="22"/>
        </w:rPr>
        <w:t>I cinque percorsi previsti</w:t>
      </w:r>
    </w:p>
    <w:p>
      <w:pPr>
        <w:pStyle w:val="ListParagraph"/>
        <w:numPr>
          <w:ilvl w:val="0"/>
          <w:numId w:val="4"/>
        </w:numPr>
        <w:spacing w:lineRule="auto" w:line="276" w:before="0" w:after="6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accertamenti esecutivi non ancora iscritti a ruolo, accertamenti con adesione, conciliazioni e mediazioni;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liti tributarie pendenti;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conciliazione agevolata dei ricorsi;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rate non pagate di piani di dilazione già concessi;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>omessi versamenti e omesse dichiarazioni TARI, IMU, CUP e Imposta di Soggiorno (annualità dal 2021 al 2025).</w:t>
      </w:r>
    </w:p>
    <w:p>
      <w:pPr>
        <w:pStyle w:val="Normal"/>
        <w:keepNext w:val="true"/>
        <w:spacing w:before="160" w:after="80"/>
        <w:rPr>
          <w:highlight w:val="none"/>
          <w:shd w:fill="auto" w:val="clear"/>
        </w:rPr>
      </w:pPr>
      <w:r>
        <w:rPr>
          <w:rFonts w:eastAsia="Calibri" w:cs="Calibri" w:ascii="Calibri" w:hAnsi="Calibri"/>
          <w:b/>
          <w:bCs/>
          <w:color w:val="1F3864"/>
          <w:sz w:val="22"/>
          <w:szCs w:val="22"/>
          <w:shd w:fill="auto" w:val="clear"/>
        </w:rPr>
        <w:t>Scadenze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>
          <w:highlight w:val="none"/>
          <w:shd w:fill="auto" w:val="clear"/>
        </w:rPr>
      </w:pPr>
      <w:r>
        <w:rPr>
          <w:rFonts w:eastAsia="Calibri" w:cs="Calibri" w:ascii="Calibri" w:hAnsi="Calibri"/>
          <w:b/>
          <w:bCs/>
          <w:i w:val="false"/>
          <w:iCs w:val="false"/>
          <w:color w:val="000000"/>
          <w:sz w:val="20"/>
          <w:szCs w:val="20"/>
          <w:shd w:fill="auto" w:val="clear"/>
        </w:rPr>
        <w:t>28 Settembre 2026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 xml:space="preserve"> – Istanza per gli accertamenti esecutivi e le altre fattispecie della Parte I Parte IV e Parte V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del Regolamento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;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>
          <w:highlight w:val="none"/>
          <w:shd w:fill="auto" w:val="clear"/>
        </w:rPr>
      </w:pPr>
      <w:r>
        <w:rPr>
          <w:rFonts w:eastAsia="Calibri" w:cs="Calibri" w:ascii="Calibri" w:hAnsi="Calibri"/>
          <w:b/>
          <w:bCs/>
          <w:i w:val="false"/>
          <w:iCs w:val="false"/>
          <w:color w:val="000000"/>
          <w:sz w:val="20"/>
          <w:szCs w:val="20"/>
          <w:shd w:fill="auto" w:val="clear"/>
        </w:rPr>
        <w:t>28 Agosto 2026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 xml:space="preserve"> – Domanda di Definizione agevolata delle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L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 xml:space="preserve">iti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P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endenti Parte II;</w:t>
      </w:r>
    </w:p>
    <w:p>
      <w:pPr>
        <w:pStyle w:val="ListParagraph"/>
        <w:numPr>
          <w:ilvl w:val="0"/>
          <w:numId w:val="2"/>
        </w:numPr>
        <w:spacing w:lineRule="auto" w:line="276" w:before="0" w:after="60"/>
        <w:jc w:val="start"/>
        <w:rPr>
          <w:highlight w:val="none"/>
          <w:shd w:fill="FFFF00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Dichiarazione di adesione per omessi versamenti e dichiarazioni (60 giorni dalla pubblicazione del presente avviso);</w:t>
      </w:r>
    </w:p>
    <w:p>
      <w:pPr>
        <w:pStyle w:val="ListParagraph"/>
        <w:numPr>
          <w:ilvl w:val="0"/>
          <w:numId w:val="0"/>
        </w:numPr>
        <w:spacing w:lineRule="auto" w:line="276" w:before="0" w:after="60"/>
        <w:ind w:hanging="0" w:start="480"/>
        <w:jc w:val="start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9020" w:type="dxa"/>
        <w:jc w:val="start"/>
        <w:tblInd w:w="0" w:type="dxa"/>
        <w:tblLayout w:type="fixed"/>
        <w:tblCellMar>
          <w:top w:w="120" w:type="dxa"/>
          <w:start w:w="160" w:type="dxa"/>
          <w:bottom w:w="120" w:type="dxa"/>
          <w:end w:w="160" w:type="dxa"/>
        </w:tblCellMar>
      </w:tblPr>
      <w:tblGrid>
        <w:gridCol w:w="9020"/>
      </w:tblGrid>
      <w:tr>
        <w:trPr>
          <w:trHeight w:val="1065" w:hRule="atLeast"/>
          <w:cantSplit/>
        </w:trPr>
        <w:tc>
          <w:tcPr>
            <w:tcW w:w="9020" w:type="dxa"/>
            <w:tcBorders>
              <w:top w:val="single" w:sz="6" w:space="0" w:color="A9BFDD"/>
              <w:start w:val="single" w:sz="6" w:space="0" w:color="A9BFDD"/>
              <w:bottom w:val="single" w:sz="6" w:space="0" w:color="A9BFDD"/>
              <w:end w:val="single" w:sz="6" w:space="0" w:color="A9BFDD"/>
            </w:tcBorders>
            <w:shd w:color="auto" w:fill="E9EEF6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ascii="Calibri" w:hAnsi="Calibri" w:eastAsia="Calibri" w:cs="Calibri"/>
                <w:b/>
                <w:bCs/>
                <w:color w:val="1F6FC5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color w:val="1F6FC5"/>
                <w:sz w:val="20"/>
                <w:szCs w:val="20"/>
              </w:rPr>
              <w:t>DOVE SI PRESENTANO LE ISTANZE: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i w:val="false"/>
                <w:iCs w:val="false"/>
              </w:rPr>
              <w:t xml:space="preserve">-Tramite Portale che sarà reso disponibile dal 24 Agosto </w:t>
            </w:r>
            <w:r>
              <w:rPr>
                <w:i w:val="false"/>
                <w:iCs w:val="false"/>
              </w:rPr>
              <w:t xml:space="preserve">c.a. </w:t>
            </w:r>
            <w:r>
              <w:rPr>
                <w:i w:val="false"/>
                <w:iCs w:val="false"/>
              </w:rPr>
              <w:t>sull’home page del sito istituzionale del Comune  accedendo con</w:t>
            </w:r>
            <w:r>
              <w:rPr>
                <w:b w:val="false"/>
                <w:bCs w:val="false"/>
                <w:i w:val="false"/>
                <w:iCs w:val="false"/>
              </w:rPr>
              <w:t xml:space="preserve"> </w:t>
            </w:r>
            <w:r>
              <w:rPr>
                <w:i w:val="false"/>
                <w:iCs w:val="false"/>
              </w:rPr>
              <w:t xml:space="preserve"> SPID/CIE </w:t>
            </w:r>
            <w:r>
              <w:rPr>
                <w:i w:val="false"/>
                <w:iCs w:val="false"/>
              </w:rPr>
              <w:t>(</w:t>
            </w:r>
            <w:r>
              <w:rPr>
                <w:b w:val="false"/>
                <w:bCs w:val="false"/>
                <w:i w:val="false"/>
                <w:iCs w:val="false"/>
              </w:rPr>
              <w:t>non all’Agenzia delle entrate-Riscossione</w:t>
            </w:r>
            <w:r>
              <w:rPr>
                <w:b w:val="false"/>
                <w:bCs w:val="false"/>
                <w:i w:val="false"/>
                <w:iCs w:val="false"/>
              </w:rPr>
              <w:t>)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>- A mezzo Pec all’indirizzo istituzionale del Comune di Cinisi</w:t>
            </w: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: </w:t>
            </w:r>
            <w:hyperlink r:id="rId2">
              <w:r>
                <w:rPr>
                  <w:rStyle w:val="Hyperlink"/>
                  <w:rFonts w:eastAsia="Calibri" w:cs="Calibri" w:ascii="Calibri" w:hAnsi="Calibri"/>
                  <w:b/>
                  <w:bCs/>
                  <w:i w:val="false"/>
                  <w:iCs w:val="false"/>
                  <w:sz w:val="20"/>
                  <w:szCs w:val="20"/>
                </w:rPr>
                <w:t>cinisi@sicurezzapostale.it</w:t>
              </w:r>
            </w:hyperlink>
            <w:r>
              <w:rPr>
                <w:rStyle w:val="Hyperlink"/>
                <w:rFonts w:eastAsia="Calibri" w:cs="Calibri" w:ascii="Calibri" w:hAnsi="Calibri"/>
                <w:b/>
                <w:bCs/>
                <w:i w:val="false"/>
                <w:iCs w:val="false"/>
                <w:sz w:val="20"/>
                <w:szCs w:val="20"/>
              </w:rPr>
              <w:t>.</w:t>
            </w: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spacing w:lineRule="auto" w:line="276" w:before="0" w:after="120"/>
        <w:jc w:val="both"/>
        <w:rPr/>
      </w:pPr>
      <w:r>
        <w:rPr/>
      </w:r>
    </w:p>
    <w:p>
      <w:pPr>
        <w:pStyle w:val="Normal"/>
        <w:spacing w:lineRule="auto" w:line="276" w:before="0" w:after="120"/>
        <w:jc w:val="both"/>
        <w:rPr/>
      </w:pPr>
      <w:r>
        <w:rPr>
          <w:rStyle w:val="Strong"/>
          <w:rFonts w:ascii="Calibri" w:hAnsi="Calibri"/>
          <w:b/>
          <w:bCs/>
          <w:strike w:val="false"/>
          <w:dstrike w:val="false"/>
          <w:sz w:val="22"/>
          <w:szCs w:val="22"/>
          <w:u w:val="none"/>
          <w:effect w:val="none"/>
        </w:rPr>
        <w:t>Si rende noto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 xml:space="preserve"> che con l’accesso al portale il cittadino avrà disponibile la propria posizione debitoria relativa ai tributi già accertati o risultanti da lavorazioni in essere (esempio avvisi bonari,  solleciti,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 xml:space="preserve">avvisi di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>avvio al contraddittorio endoprocedimentale etc.)</w:t>
      </w:r>
    </w:p>
    <w:p>
      <w:pPr>
        <w:pStyle w:val="Normal"/>
        <w:spacing w:lineRule="auto" w:line="276" w:before="0" w:after="120"/>
        <w:jc w:val="both"/>
        <w:rPr/>
      </w:pP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>Q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>ualora il contribuente rilevi anomalie o intend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>a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 xml:space="preserve"> regolarizzare ulteriori situazioni non presenti nella posizione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 xml:space="preserve">contabile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 xml:space="preserve">telematica, potrà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 xml:space="preserve">procedere alle specifiche comunicazioni compilando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>l’apposita dichiarazione integrativa disponibile all’interno del portale.</w:t>
      </w:r>
    </w:p>
    <w:p>
      <w:pPr>
        <w:pStyle w:val="Normal"/>
        <w:spacing w:lineRule="auto" w:line="276" w:before="0" w:after="120"/>
        <w:jc w:val="both"/>
        <w:rPr>
          <w:rFonts w:ascii="Calibri" w:hAnsi="Calibri" w:eastAsia="Calibri" w:cs="Calibri"/>
          <w:b/>
          <w:bCs/>
          <w:i w:val="false"/>
          <w:iCs w:val="false"/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i w:val="false"/>
          <w:iCs w:val="false"/>
          <w:color w:val="000000"/>
          <w:sz w:val="20"/>
          <w:szCs w:val="20"/>
        </w:rPr>
        <w:t>Informazioni:</w:t>
      </w:r>
    </w:p>
    <w:p>
      <w:pPr>
        <w:pStyle w:val="Normal"/>
        <w:spacing w:lineRule="auto" w:line="276" w:before="0" w:after="120"/>
        <w:jc w:val="both"/>
        <w:rPr/>
      </w:pPr>
      <w:r>
        <w:rPr>
          <w:rFonts w:eastAsia="Calibri" w:cs="Calibri" w:ascii="Calibri" w:hAnsi="Calibri"/>
          <w:b/>
          <w:bCs/>
          <w:i w:val="false"/>
          <w:iCs w:val="false"/>
          <w:color w:val="000000"/>
          <w:sz w:val="20"/>
          <w:szCs w:val="20"/>
        </w:rPr>
        <w:t xml:space="preserve">- </w:t>
      </w:r>
      <w:r>
        <w:rPr>
          <w:rStyle w:val="Strong"/>
          <w:rFonts w:ascii="Calibri" w:hAnsi="Calibri"/>
          <w:b/>
          <w:strike w:val="false"/>
          <w:dstrike w:val="false"/>
          <w:sz w:val="20"/>
          <w:szCs w:val="20"/>
          <w:u w:val="none"/>
          <w:effect w:val="none"/>
        </w:rPr>
        <w:t>Ufficio Tributi -TA.RI. - CUP :</w:t>
      </w:r>
      <w:r>
        <w:rPr>
          <w:rFonts w:ascii="Calibri" w:hAnsi="Calibri"/>
          <w:sz w:val="20"/>
          <w:szCs w:val="20"/>
        </w:rPr>
        <w:t xml:space="preserve"> 091 7486239 - 248 - 222       </w:t>
      </w:r>
      <w:r>
        <w:rPr>
          <w:rFonts w:ascii="Calibri" w:hAnsi="Calibri"/>
          <w:b w:val="false"/>
          <w:bCs w:val="false"/>
          <w:sz w:val="20"/>
          <w:szCs w:val="20"/>
        </w:rPr>
        <w:t xml:space="preserve">         e-mail: </w:t>
      </w:r>
      <w:hyperlink r:id="rId3">
        <w:r>
          <w:rPr>
            <w:rStyle w:val="Hyperlink"/>
            <w:rFonts w:ascii="Calibri" w:hAnsi="Calibri"/>
            <w:b w:val="false"/>
            <w:bCs w:val="false"/>
            <w:sz w:val="20"/>
            <w:szCs w:val="20"/>
          </w:rPr>
          <w:t>ufficio.tributi@comune.cinisi.pa.it</w:t>
        </w:r>
      </w:hyperlink>
      <w:r>
        <w:rPr>
          <w:rFonts w:ascii="Calibri" w:hAnsi="Calibri"/>
          <w:b w:val="false"/>
          <w:bCs w:val="false"/>
          <w:sz w:val="20"/>
          <w:szCs w:val="20"/>
        </w:rPr>
        <w:tab/>
      </w:r>
    </w:p>
    <w:p>
      <w:pPr>
        <w:pStyle w:val="Normal"/>
        <w:spacing w:lineRule="auto" w:line="276" w:before="0" w:after="120"/>
        <w:jc w:val="both"/>
        <w:rPr/>
      </w:pPr>
      <w:r>
        <w:rPr>
          <w:rFonts w:ascii="Calibri" w:hAnsi="Calibri"/>
          <w:sz w:val="20"/>
          <w:szCs w:val="20"/>
        </w:rPr>
        <w:t xml:space="preserve">- </w:t>
      </w:r>
      <w:r>
        <w:rPr>
          <w:rStyle w:val="Strong"/>
          <w:rFonts w:ascii="Calibri" w:hAnsi="Calibri"/>
          <w:b/>
          <w:strike w:val="false"/>
          <w:dstrike w:val="false"/>
          <w:sz w:val="20"/>
          <w:szCs w:val="20"/>
          <w:u w:val="none"/>
          <w:effect w:val="none"/>
        </w:rPr>
        <w:t xml:space="preserve">Ufficio I.M.U. e Imposta di Soggiorno : 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091 7486240 –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>2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67        e-mail: </w:t>
      </w:r>
      <w:hyperlink r:id="rId4">
        <w:r>
          <w:rPr>
            <w:rStyle w:val="Hyperlink"/>
            <w:rFonts w:ascii="Calibri" w:hAnsi="Calibri"/>
            <w:b w:val="false"/>
            <w:bCs w:val="false"/>
            <w:strike w:val="false"/>
            <w:dstrike w:val="false"/>
            <w:sz w:val="20"/>
            <w:szCs w:val="20"/>
            <w:u w:val="none"/>
            <w:effect w:val="none"/>
          </w:rPr>
          <w:t>ufficio.imu@comune.cinisi.pa.it</w:t>
        </w:r>
      </w:hyperlink>
      <w:r>
        <w:rPr>
          <w:rStyle w:val="Hyperlink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                 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     </w:t>
      </w:r>
    </w:p>
    <w:p>
      <w:pPr>
        <w:pStyle w:val="Normal"/>
        <w:spacing w:lineRule="auto" w:line="276" w:before="0" w:after="120"/>
        <w:jc w:val="both"/>
        <w:rPr/>
      </w:pP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- </w:t>
      </w:r>
      <w:r>
        <w:rPr>
          <w:rStyle w:val="Strong"/>
          <w:rFonts w:ascii="Calibri" w:hAnsi="Calibri"/>
          <w:b/>
          <w:strike w:val="false"/>
          <w:dstrike w:val="false"/>
          <w:sz w:val="20"/>
          <w:szCs w:val="20"/>
          <w:u w:val="none"/>
          <w:effect w:val="none"/>
        </w:rPr>
        <w:t xml:space="preserve">Ufficio Polizia Municipale : </w:t>
      </w: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091 7486292                                       e-mail: </w:t>
      </w:r>
      <w:hyperlink r:id="rId5">
        <w:r>
          <w:rPr>
            <w:rStyle w:val="Hyperlink"/>
            <w:rFonts w:ascii="Calibri" w:hAnsi="Calibri"/>
            <w:b w:val="false"/>
            <w:bCs w:val="false"/>
            <w:strike w:val="false"/>
            <w:dstrike w:val="false"/>
            <w:sz w:val="20"/>
            <w:szCs w:val="20"/>
            <w:u w:val="none"/>
            <w:effect w:val="none"/>
          </w:rPr>
          <w:t>poliziamunicipale@comune.cinisi.pa.it</w:t>
        </w:r>
      </w:hyperlink>
      <w:r>
        <w:rPr>
          <w:rStyle w:val="Hyperlink"/>
          <w:rFonts w:ascii="Calibri" w:hAnsi="Calibri"/>
          <w:b w:val="false"/>
          <w:bCs w:val="false"/>
          <w:strike w:val="false"/>
          <w:dstrike w:val="false"/>
          <w:sz w:val="20"/>
          <w:szCs w:val="20"/>
          <w:u w:val="none"/>
          <w:effect w:val="none"/>
        </w:rPr>
        <w:t xml:space="preserve">         </w:t>
      </w:r>
    </w:p>
    <w:p>
      <w:pPr>
        <w:pStyle w:val="Normal"/>
        <w:spacing w:lineRule="auto" w:line="276" w:before="0" w:after="120"/>
        <w:jc w:val="both"/>
        <w:rPr>
          <w:rStyle w:val="Strong"/>
          <w:rFonts w:ascii="Calibri" w:hAnsi="Calibri"/>
          <w:b/>
          <w:bCs/>
          <w:strike w:val="false"/>
          <w:dstrike w:val="false"/>
          <w:sz w:val="22"/>
          <w:szCs w:val="22"/>
          <w:u w:val="none"/>
          <w:effect w:val="none"/>
        </w:rPr>
      </w:pPr>
      <w:r>
        <w:rPr/>
      </w:r>
    </w:p>
    <w:p>
      <w:pPr>
        <w:pStyle w:val="Normal"/>
        <w:spacing w:lineRule="auto" w:line="276" w:before="0" w:after="120"/>
        <w:jc w:val="both"/>
        <w:rPr/>
      </w:pPr>
      <w:r>
        <w:rPr>
          <w:rStyle w:val="Strong"/>
          <w:rFonts w:ascii="Calibri" w:hAnsi="Calibri"/>
          <w:b/>
          <w:bCs/>
          <w:strike w:val="false"/>
          <w:dstrike w:val="false"/>
          <w:sz w:val="22"/>
          <w:szCs w:val="22"/>
          <w:u w:val="none"/>
          <w:effect w:val="none"/>
        </w:rPr>
        <w:t>Nota Bene:</w:t>
      </w:r>
    </w:p>
    <w:p>
      <w:pPr>
        <w:pStyle w:val="Normal"/>
        <w:spacing w:lineRule="auto" w:line="276" w:before="0" w:after="120"/>
        <w:jc w:val="both"/>
        <w:rPr/>
      </w:pPr>
      <w:r>
        <w:rPr>
          <w:rStyle w:val="Strong"/>
          <w:rFonts w:ascii="Calibri" w:hAnsi="Calibri"/>
          <w:b w:val="false"/>
          <w:bCs w:val="false"/>
          <w:strike w:val="false"/>
          <w:dstrike w:val="false"/>
          <w:sz w:val="22"/>
          <w:szCs w:val="22"/>
          <w:u w:val="none"/>
          <w:effect w:val="none"/>
        </w:rPr>
        <w:t>Le istanze della Definizione Agevolata delle Sanzioni Amministrative è distinta da quella dei Tributi.</w:t>
      </w:r>
    </w:p>
    <w:sectPr>
      <w:type w:val="nextPage"/>
      <w:pgSz w:w="11906" w:h="16838"/>
      <w:pgMar w:left="1440" w:right="1440" w:gutter="0" w:header="0" w:top="1200" w:footer="0" w:bottom="12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480" w:hanging="24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start"/>
      <w:pPr>
        <w:tabs>
          <w:tab w:val="num" w:pos="0"/>
        </w:tabs>
        <w:ind w:start="900" w:hanging="24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480" w:hanging="24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start"/>
      <w:pPr>
        <w:tabs>
          <w:tab w:val="num" w:pos="0"/>
        </w:tabs>
        <w:ind w:start="900" w:hanging="24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Titolo"/>
    <w:qFormat/>
    <w:pPr/>
    <w:rPr>
      <w:color w:val="2E74B5"/>
      <w:sz w:val="32"/>
      <w:szCs w:val="32"/>
    </w:rPr>
  </w:style>
  <w:style w:type="paragraph" w:styleId="Heading2">
    <w:name w:val="heading 2"/>
    <w:basedOn w:val="Titolo"/>
    <w:qFormat/>
    <w:pPr/>
    <w:rPr>
      <w:color w:val="2E74B5"/>
      <w:sz w:val="26"/>
      <w:szCs w:val="26"/>
    </w:rPr>
  </w:style>
  <w:style w:type="paragraph" w:styleId="Heading3">
    <w:name w:val="heading 3"/>
    <w:basedOn w:val="Titolo"/>
    <w:qFormat/>
    <w:pPr/>
    <w:rPr>
      <w:color w:val="1F4D78"/>
      <w:sz w:val="24"/>
      <w:szCs w:val="24"/>
    </w:rPr>
  </w:style>
  <w:style w:type="paragraph" w:styleId="Heading4">
    <w:name w:val="heading 4"/>
    <w:basedOn w:val="Titolo"/>
    <w:qFormat/>
    <w:pPr/>
    <w:rPr>
      <w:i/>
      <w:iCs/>
      <w:color w:val="2E74B5"/>
    </w:rPr>
  </w:style>
  <w:style w:type="paragraph" w:styleId="Heading5">
    <w:name w:val="heading 5"/>
    <w:basedOn w:val="Titolo"/>
    <w:qFormat/>
    <w:pPr/>
    <w:rPr>
      <w:color w:val="2E74B5"/>
    </w:rPr>
  </w:style>
  <w:style w:type="paragraph" w:styleId="Heading6">
    <w:name w:val="heading 6"/>
    <w:basedOn w:val="Tito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isi@sicurezzapostale.it" TargetMode="External"/><Relationship Id="rId3" Type="http://schemas.openxmlformats.org/officeDocument/2006/relationships/hyperlink" Target="mailto:ufficio.tributi@comune.cinisi.pa.it" TargetMode="External"/><Relationship Id="rId4" Type="http://schemas.openxmlformats.org/officeDocument/2006/relationships/hyperlink" Target="mailto:ufficio.imu@comune.cinisi.pa.it" TargetMode="External"/><Relationship Id="rId5" Type="http://schemas.openxmlformats.org/officeDocument/2006/relationships/hyperlink" Target="mailto:poliziamunicipale@comune.cinisi.pa.i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LibreOffice/26.2.5.1$Windows_X86_64 LibreOffice_project/997786b8bfe5fadf793c1218fed3f515ec806f1b</Application>
  <AppVersion>15.0000</AppVersion>
  <Pages>1</Pages>
  <Words>355</Words>
  <Characters>2191</Characters>
  <CharactersWithSpaces>2617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2026-07-29T16:27:08Z</dcterms:created>
  <dc:creator>Comune di Cinisi</dc:creator>
  <dc:description/>
  <dc:language>it-IT</dc:language>
  <cp:lastModifiedBy/>
  <dcterms:modified xsi:type="dcterms:W3CDTF">2026-08-03T13:28:21Z</dcterms:modified>
  <cp:revision>17</cp:revision>
  <dc:subject/>
  <dc:title>Avviso home page – Definizione agevolata delle entrate comunali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